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028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транспорта РФ от 26 октября 2020 г. N 438 "Об утверждени</w:t>
        </w:r>
        <w:r>
          <w:rPr>
            <w:rStyle w:val="a4"/>
            <w:b w:val="0"/>
            <w:bCs w:val="0"/>
          </w:rPr>
          <w:t>и Порядка оснащения транспортных средств тахографами" (документ не вступил в силу)</w:t>
        </w:r>
      </w:hyperlink>
    </w:p>
    <w:p w:rsidR="00000000" w:rsidRDefault="000E0028"/>
    <w:p w:rsidR="00000000" w:rsidRDefault="000E0028">
      <w:r>
        <w:t xml:space="preserve">В соответствии с </w:t>
      </w:r>
      <w:hyperlink r:id="rId8" w:history="1">
        <w:r>
          <w:rPr>
            <w:rStyle w:val="a4"/>
          </w:rPr>
          <w:t>пунктом 1</w:t>
        </w:r>
      </w:hyperlink>
      <w:r>
        <w:t xml:space="preserve"> постановления Правительства Российской Федерации от 23 ноября 2012 г. N 1</w:t>
      </w:r>
      <w:r>
        <w:t>213 "О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работы" (Собрание законодательства Российской Федерации, 2012</w:t>
      </w:r>
      <w:r>
        <w:t>, N 48, ст. 6714) приказываю:</w:t>
      </w:r>
    </w:p>
    <w:p w:rsidR="00000000" w:rsidRDefault="000E002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оснащения транспортных средств тахографами.</w:t>
      </w:r>
    </w:p>
    <w:p w:rsidR="00000000" w:rsidRDefault="000E0028">
      <w:bookmarkStart w:id="1" w:name="sub_2"/>
      <w:bookmarkEnd w:id="0"/>
      <w:r>
        <w:t>2. Настоящий приказ вступает в силу с 1 января 2021 г. и действует до 1 января 2027 г.</w:t>
      </w:r>
    </w:p>
    <w:bookmarkEnd w:id="1"/>
    <w:p w:rsidR="00000000" w:rsidRDefault="000E002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E0028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E0028">
            <w:pPr>
              <w:pStyle w:val="a5"/>
              <w:jc w:val="right"/>
            </w:pPr>
            <w:r>
              <w:t>Е.И. Дитрих</w:t>
            </w:r>
          </w:p>
        </w:tc>
      </w:tr>
    </w:tbl>
    <w:p w:rsidR="00000000" w:rsidRDefault="000E0028"/>
    <w:p w:rsidR="00000000" w:rsidRDefault="000E0028">
      <w:pPr>
        <w:pStyle w:val="a7"/>
      </w:pPr>
      <w:r>
        <w:t>Зарегистрировано в Минюсте РФ 19 ноября 2020 г.</w:t>
      </w:r>
      <w:r>
        <w:br/>
        <w:t>Регистрационный N 60988</w:t>
      </w:r>
    </w:p>
    <w:p w:rsidR="00000000" w:rsidRDefault="000E0028"/>
    <w:p w:rsidR="00000000" w:rsidRDefault="000E0028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Минтранса России</w:t>
      </w:r>
      <w:r>
        <w:rPr>
          <w:rStyle w:val="a3"/>
        </w:rPr>
        <w:br/>
        <w:t>от 26 октября 2020 г. N 438</w:t>
      </w:r>
    </w:p>
    <w:bookmarkEnd w:id="2"/>
    <w:p w:rsidR="00000000" w:rsidRDefault="000E0028"/>
    <w:p w:rsidR="00000000" w:rsidRDefault="000E0028">
      <w:pPr>
        <w:pStyle w:val="1"/>
      </w:pPr>
      <w:r>
        <w:t>Порядок оснащения транспортных средств тахографами</w:t>
      </w:r>
    </w:p>
    <w:p w:rsidR="00000000" w:rsidRDefault="000E0028"/>
    <w:p w:rsidR="00000000" w:rsidRDefault="000E0028">
      <w:bookmarkStart w:id="3" w:name="sub_1001"/>
      <w:r>
        <w:t xml:space="preserve">1. </w:t>
      </w:r>
      <w:r>
        <w:t>Порядок оснащения транспортных средств тахографами (далее - Порядок) устанавливает процедуру оснащения транспортных средств тахографами.</w:t>
      </w:r>
    </w:p>
    <w:p w:rsidR="00000000" w:rsidRDefault="000E0028">
      <w:bookmarkStart w:id="4" w:name="sub_1002"/>
      <w:bookmarkEnd w:id="3"/>
      <w:r>
        <w:t>2. Порядок применяется юридическими лицами, индивидуальными предпринимателями, осуществляющими эксплуат</w:t>
      </w:r>
      <w:r>
        <w:t>ацию транспортных средств, а также физическими лицами, осуществляющими эксплуатацию грузовых автомобилей, разрешенная максимальная масса которых превышает 3,5 тонн, и автобусов (далее - владельцы транспортных средств)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, в целях о</w:t>
      </w:r>
      <w:r>
        <w:t>беспечения безопасности дорожного движения.</w:t>
      </w:r>
    </w:p>
    <w:p w:rsidR="00000000" w:rsidRDefault="000E0028">
      <w:bookmarkStart w:id="5" w:name="sub_1003"/>
      <w:bookmarkEnd w:id="4"/>
      <w:r>
        <w:t xml:space="preserve">3. Оснащение транспортного средства тахографом обеспечивается владельцем транспортного средства и осуществляется мастерской, сведения о которой в соответствии с </w:t>
      </w:r>
      <w:hyperlink r:id="rId9" w:history="1">
        <w:r>
          <w:rPr>
            <w:rStyle w:val="a4"/>
          </w:rPr>
          <w:t>правилами</w:t>
        </w:r>
      </w:hyperlink>
      <w:r>
        <w:t xml:space="preserve"> использования тахографов, установленных на транспортные средства, утвержденными Минтрансом России в соответствии с </w:t>
      </w:r>
      <w:hyperlink r:id="rId10" w:history="1">
        <w:r>
          <w:rPr>
            <w:rStyle w:val="a4"/>
          </w:rPr>
          <w:t>пунктом 1</w:t>
        </w:r>
      </w:hyperlink>
      <w:r>
        <w:t xml:space="preserve"> постановления П</w:t>
      </w:r>
      <w:r>
        <w:t>равительства Российской Федерации от 23 ноября 2012 г. N 1213 (далее - Правила использования), учтены федеральным бюджетным учреждением "Агентство автомобильного транспорта" (далее - ФБУ "Росавтотранс")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 xml:space="preserve"> в перечне сведений о маст</w:t>
      </w:r>
      <w:r>
        <w:t>ерских (далее - мастерская).</w:t>
      </w:r>
    </w:p>
    <w:p w:rsidR="00000000" w:rsidRDefault="000E0028">
      <w:bookmarkStart w:id="6" w:name="sub_1004"/>
      <w:bookmarkEnd w:id="5"/>
      <w:r>
        <w:t xml:space="preserve">4. Выполнение работ по оснащению транспортных средств тахографами осуществляется в соответствии с </w:t>
      </w:r>
      <w:hyperlink r:id="rId11" w:history="1">
        <w:r>
          <w:rPr>
            <w:rStyle w:val="a4"/>
          </w:rPr>
          <w:t>правилами</w:t>
        </w:r>
      </w:hyperlink>
      <w:r>
        <w:t xml:space="preserve"> обслуживания тахографов, устано</w:t>
      </w:r>
      <w:r>
        <w:t xml:space="preserve">вленных на транспортные средства, утвержденными Минтрансом России в соответствии с </w:t>
      </w:r>
      <w:hyperlink r:id="rId12" w:history="1">
        <w:r>
          <w:rPr>
            <w:rStyle w:val="a4"/>
          </w:rPr>
          <w:t>пунктом 1</w:t>
        </w:r>
      </w:hyperlink>
      <w:r>
        <w:t xml:space="preserve"> постановления Правительства Российской Федерации от 23 ноября 2012 г. N 1213 (далее - Правила </w:t>
      </w:r>
      <w:r>
        <w:t>обслуживания).</w:t>
      </w:r>
    </w:p>
    <w:p w:rsidR="00000000" w:rsidRDefault="000E0028">
      <w:bookmarkStart w:id="7" w:name="sub_1005"/>
      <w:bookmarkEnd w:id="6"/>
      <w:r>
        <w:t>5. В ходе оснащения транспортного средства тахографом мастерская осуществляет:</w:t>
      </w:r>
    </w:p>
    <w:p w:rsidR="00000000" w:rsidRDefault="000E0028">
      <w:bookmarkStart w:id="8" w:name="sub_1051"/>
      <w:bookmarkEnd w:id="7"/>
      <w:r>
        <w:t xml:space="preserve">1) установку тахографа, сведения о модели которого в соответствии с </w:t>
      </w:r>
      <w:hyperlink r:id="rId13" w:history="1">
        <w:r>
          <w:rPr>
            <w:rStyle w:val="a4"/>
          </w:rPr>
          <w:t>Правилами</w:t>
        </w:r>
      </w:hyperlink>
      <w:r>
        <w:t xml:space="preserve"> использования учтены ФБУ "Росавтотранс" в перечне сведений о моделях тахографов;</w:t>
      </w:r>
    </w:p>
    <w:p w:rsidR="00000000" w:rsidRDefault="000E0028">
      <w:bookmarkStart w:id="9" w:name="sub_1052"/>
      <w:bookmarkEnd w:id="8"/>
      <w:r>
        <w:t>2) активизацию тахографа и программно-аппаратного шифровального (криптографического) средства (далее - блок СКЗИ тахографа);</w:t>
      </w:r>
    </w:p>
    <w:p w:rsidR="00000000" w:rsidRDefault="000E0028">
      <w:bookmarkStart w:id="10" w:name="sub_1053"/>
      <w:bookmarkEnd w:id="9"/>
      <w:r>
        <w:t>3) настройку тахографа;</w:t>
      </w:r>
    </w:p>
    <w:p w:rsidR="00000000" w:rsidRDefault="000E0028">
      <w:bookmarkStart w:id="11" w:name="sub_1054"/>
      <w:bookmarkEnd w:id="10"/>
      <w:r>
        <w:t>4) опломбирование тахографа.</w:t>
      </w:r>
    </w:p>
    <w:p w:rsidR="00000000" w:rsidRDefault="000E0028">
      <w:bookmarkStart w:id="12" w:name="sub_1006"/>
      <w:bookmarkEnd w:id="11"/>
      <w:r>
        <w:t xml:space="preserve">6. Тахограф устанавливается на транспортное средство таким образом, чтобы водитель имел </w:t>
      </w:r>
      <w:r>
        <w:lastRenderedPageBreak/>
        <w:t>доступ к функциям тахографа со своего рабочего места.</w:t>
      </w:r>
    </w:p>
    <w:bookmarkEnd w:id="12"/>
    <w:p w:rsidR="00000000" w:rsidRDefault="000E0028">
      <w:r>
        <w:t xml:space="preserve">Состав работ, выполняемых при установке тахографа, должен соответствовать </w:t>
      </w:r>
      <w:hyperlink r:id="rId14" w:history="1">
        <w:r>
          <w:rPr>
            <w:rStyle w:val="a4"/>
          </w:rPr>
          <w:t>Правилам</w:t>
        </w:r>
      </w:hyperlink>
      <w:r>
        <w:t xml:space="preserve"> обслуживания и требованиям технической документации организации-изготовителя модели тахографа, устана</w:t>
      </w:r>
      <w:r>
        <w:t>вливаемого на транспортное средство.</w:t>
      </w:r>
    </w:p>
    <w:p w:rsidR="00000000" w:rsidRDefault="000E0028">
      <w:bookmarkStart w:id="13" w:name="sub_1007"/>
      <w:r>
        <w:t xml:space="preserve">7. Состав работ, выполняемых при активизации тахографа и блока СКЗИ тахографа, должен соответствовать </w:t>
      </w:r>
      <w:hyperlink r:id="rId15" w:history="1">
        <w:r>
          <w:rPr>
            <w:rStyle w:val="a4"/>
          </w:rPr>
          <w:t>Правилам</w:t>
        </w:r>
      </w:hyperlink>
      <w:r>
        <w:t xml:space="preserve"> обслуживания и требованиям т</w:t>
      </w:r>
      <w:r>
        <w:t>ехнической документации организации-изготовителя модели тахографа, установленного на транспортное средство, и организации-изготовителя блока СКЗИ тахографа.</w:t>
      </w:r>
    </w:p>
    <w:p w:rsidR="00000000" w:rsidRDefault="000E0028">
      <w:bookmarkStart w:id="14" w:name="sub_1008"/>
      <w:bookmarkEnd w:id="13"/>
      <w:r>
        <w:t>8. После активизации тахографа и блока СКЗИ тахографа осуществляется настройка тахо</w:t>
      </w:r>
      <w:r>
        <w:t>графа, при которой в память тахографа вводятся параметры транспортного средства, определяющие показания тахографа (постоянная тахографа (k), характеристический коэффициент транспортного средства (w), эффективная окружность шин колес (l)), идентификационный</w:t>
      </w:r>
      <w:r>
        <w:t xml:space="preserve"> (VIN) и (или) государственный регистрационный (VRN) номера транспортного средства (при их наличии).</w:t>
      </w:r>
    </w:p>
    <w:bookmarkEnd w:id="14"/>
    <w:p w:rsidR="00000000" w:rsidRDefault="000E0028">
      <w:r>
        <w:t>Состав работ, выполняемых при настройке тахографа, должен соответствовать Правилам обслуживания и требованиям технической документации организации-</w:t>
      </w:r>
      <w:r>
        <w:t>изготовителя модели тахографа, установленного на транспортное средство, и организации-изготовителя блока СКЗИ тахографа.</w:t>
      </w:r>
    </w:p>
    <w:p w:rsidR="00000000" w:rsidRDefault="000E0028">
      <w:bookmarkStart w:id="15" w:name="sub_1009"/>
      <w:r>
        <w:t>9. В результате настройки тахографа должна обеспечиваться возможность распечатки контрольных данных, содержащих следующую инфор</w:t>
      </w:r>
      <w:r>
        <w:t>мацию:</w:t>
      </w:r>
    </w:p>
    <w:bookmarkEnd w:id="15"/>
    <w:p w:rsidR="00000000" w:rsidRDefault="000E0028">
      <w:r>
        <w:t>наименование мастерской, производившей настройку тахографа;</w:t>
      </w:r>
    </w:p>
    <w:p w:rsidR="00000000" w:rsidRDefault="000E0028">
      <w:r>
        <w:t xml:space="preserve">номер мастерской в перечне сведений о мастерских, формируемом ФБУ "Росавтотранс" в соответствии с </w:t>
      </w:r>
      <w:hyperlink r:id="rId16" w:history="1">
        <w:r>
          <w:rPr>
            <w:rStyle w:val="a4"/>
          </w:rPr>
          <w:t>Правилами</w:t>
        </w:r>
      </w:hyperlink>
      <w:r>
        <w:t xml:space="preserve"> и</w:t>
      </w:r>
      <w:r>
        <w:t>спользования;</w:t>
      </w:r>
    </w:p>
    <w:p w:rsidR="00000000" w:rsidRDefault="000E0028">
      <w:r>
        <w:t xml:space="preserve">номер тахографа в перечне сведений о моделях тахографов, формируемом ФБУ "Росавтотранс" в соответствии с </w:t>
      </w:r>
      <w:hyperlink r:id="rId17" w:history="1">
        <w:r>
          <w:rPr>
            <w:rStyle w:val="a4"/>
          </w:rPr>
          <w:t>Правилами</w:t>
        </w:r>
      </w:hyperlink>
      <w:r>
        <w:t xml:space="preserve"> использования;</w:t>
      </w:r>
    </w:p>
    <w:p w:rsidR="00000000" w:rsidRDefault="000E0028">
      <w:r>
        <w:t>номер блока СКЗИ тахографа в перечне све</w:t>
      </w:r>
      <w:r>
        <w:t xml:space="preserve">дений о моделях блоков СКЗИ тахографа, формируемом ФБУ "Росавтотранс" в соответствии с </w:t>
      </w:r>
      <w:hyperlink r:id="rId18" w:history="1">
        <w:r>
          <w:rPr>
            <w:rStyle w:val="a4"/>
          </w:rPr>
          <w:t>Правилами</w:t>
        </w:r>
      </w:hyperlink>
      <w:r>
        <w:t xml:space="preserve"> использования;</w:t>
      </w:r>
    </w:p>
    <w:p w:rsidR="00000000" w:rsidRDefault="000E0028">
      <w:r>
        <w:t xml:space="preserve">параметры транспортного средства, указанные в </w:t>
      </w:r>
      <w:hyperlink w:anchor="sub_1008" w:history="1">
        <w:r>
          <w:rPr>
            <w:rStyle w:val="a4"/>
          </w:rPr>
          <w:t>пун</w:t>
        </w:r>
        <w:r>
          <w:rPr>
            <w:rStyle w:val="a4"/>
          </w:rPr>
          <w:t>кте 8</w:t>
        </w:r>
      </w:hyperlink>
      <w:r>
        <w:t xml:space="preserve"> Порядка, и дата их определения;</w:t>
      </w:r>
    </w:p>
    <w:p w:rsidR="00000000" w:rsidRDefault="000E0028">
      <w:r>
        <w:t>идентификационный (VIN) и (или) государственный регистрационный (VRN) номера транспортного средства (при их наличии).</w:t>
      </w:r>
    </w:p>
    <w:p w:rsidR="00000000" w:rsidRDefault="000E0028">
      <w:bookmarkStart w:id="16" w:name="sub_1010"/>
      <w:r>
        <w:t>10. Оснащение транспортного средства завершается опломбированием тахографа. Оттиск на пло</w:t>
      </w:r>
      <w:r>
        <w:t xml:space="preserve">мбе мастерской должен соответствовать номеру мастерской в перечне сведений о мастерских, формируемом ФБУ "Росавтотранс" в соответствии с </w:t>
      </w:r>
      <w:hyperlink r:id="rId19" w:history="1">
        <w:r>
          <w:rPr>
            <w:rStyle w:val="a4"/>
          </w:rPr>
          <w:t>Правилами</w:t>
        </w:r>
      </w:hyperlink>
      <w:r>
        <w:t xml:space="preserve"> использования. Пломбы устанавливаются</w:t>
      </w:r>
      <w:r>
        <w:t xml:space="preserve"> мастерской в соответствии с </w:t>
      </w:r>
      <w:hyperlink r:id="rId20" w:history="1">
        <w:r>
          <w:rPr>
            <w:rStyle w:val="a4"/>
          </w:rPr>
          <w:t>Правилами</w:t>
        </w:r>
      </w:hyperlink>
      <w:r>
        <w:t xml:space="preserve"> обслуживания и с требованиями технической документации организации-изготовителя модели тахографа, установленного на транспортное средство.</w:t>
      </w:r>
    </w:p>
    <w:p w:rsidR="00000000" w:rsidRDefault="000E0028">
      <w:bookmarkStart w:id="17" w:name="sub_1011"/>
      <w:bookmarkEnd w:id="16"/>
      <w:r>
        <w:t>11. Повторная настройка тахографа, установленного на транспортное средство, обеспечивается владельцем транспортного средства и осуществляется мастерской не реже чем один раз в три года либо после изменения параметров транспортного средства, указа</w:t>
      </w:r>
      <w:r>
        <w:t xml:space="preserve">нных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Порядка, изменения идентификационного (VIN) и (или) государственного регистрационного (VRN) номера транспортного средства, ремонта и (или) модернизации тахографа, замены блока СКЗИ тахографа, нарушения пломбировки тахографа.</w:t>
      </w:r>
    </w:p>
    <w:bookmarkEnd w:id="17"/>
    <w:p w:rsidR="00000000" w:rsidRDefault="000E0028">
      <w:r>
        <w:t>Повторная настройка ос</w:t>
      </w:r>
      <w:r>
        <w:t xml:space="preserve">уществляется в соответствии с </w:t>
      </w:r>
      <w:hyperlink r:id="rId21" w:history="1">
        <w:r>
          <w:rPr>
            <w:rStyle w:val="a4"/>
          </w:rPr>
          <w:t>Правилами</w:t>
        </w:r>
      </w:hyperlink>
      <w:r>
        <w:t xml:space="preserve"> обслуживания.</w:t>
      </w:r>
    </w:p>
    <w:p w:rsidR="00000000" w:rsidRDefault="000E0028"/>
    <w:p w:rsidR="00000000" w:rsidRDefault="000E002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E0028">
      <w:pPr>
        <w:pStyle w:val="a8"/>
      </w:pPr>
      <w:bookmarkStart w:id="18" w:name="sub_1111"/>
      <w:r>
        <w:rPr>
          <w:vertAlign w:val="superscript"/>
        </w:rPr>
        <w:t>1</w:t>
      </w:r>
      <w:hyperlink r:id="rId22" w:history="1">
        <w:r>
          <w:rPr>
            <w:rStyle w:val="a4"/>
          </w:rPr>
          <w:t>Пункты 1</w:t>
        </w:r>
      </w:hyperlink>
      <w:r>
        <w:t xml:space="preserve"> и </w:t>
      </w:r>
      <w:hyperlink r:id="rId23" w:history="1">
        <w:r>
          <w:rPr>
            <w:rStyle w:val="a4"/>
          </w:rPr>
          <w:t>3 статьи 20</w:t>
        </w:r>
      </w:hyperlink>
      <w:r>
        <w:t xml:space="preserve"> Федерального закона от 10 декабря 1995 г. N 196-ФЗ "О безопасности дорожного движения" (Собрание законодательства Российской Федерации, 1995, N 50, ст. 4873; 2018, N 45, ст. 684</w:t>
      </w:r>
      <w:r>
        <w:t>1).</w:t>
      </w:r>
    </w:p>
    <w:p w:rsidR="00000000" w:rsidRDefault="000E0028">
      <w:pPr>
        <w:pStyle w:val="a8"/>
      </w:pPr>
      <w:bookmarkStart w:id="19" w:name="sub_2222"/>
      <w:bookmarkEnd w:id="18"/>
      <w:r>
        <w:rPr>
          <w:vertAlign w:val="superscript"/>
        </w:rPr>
        <w:t>2</w:t>
      </w:r>
      <w:hyperlink r:id="rId24" w:history="1">
        <w:r>
          <w:rPr>
            <w:rStyle w:val="a4"/>
          </w:rPr>
          <w:t>Пункт 4</w:t>
        </w:r>
      </w:hyperlink>
      <w:r>
        <w:t xml:space="preserve"> Положения о Министерстве транспорта Российской Федерации, утвержденного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30 июля 2004 г. N 395 (Собрание законодательства Российской Федерации, 2004, N 32, ст. 3342; 2011, N 32, ст. 4832).</w:t>
      </w:r>
    </w:p>
    <w:bookmarkEnd w:id="19"/>
    <w:p w:rsidR="00000000" w:rsidRDefault="000E0028"/>
    <w:sectPr w:rsidR="00000000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E0028">
      <w:r>
        <w:separator/>
      </w:r>
    </w:p>
  </w:endnote>
  <w:endnote w:type="continuationSeparator" w:id="0">
    <w:p w:rsidR="00000000" w:rsidRDefault="000E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E00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0B34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02.12.2020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E00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E00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B34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E0028">
      <w:r>
        <w:separator/>
      </w:r>
    </w:p>
  </w:footnote>
  <w:footnote w:type="continuationSeparator" w:id="0">
    <w:p w:rsidR="00000000" w:rsidRDefault="000E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0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транспорта РФ от 26 октября 2020 г. N 438 "Об утверждении Порядка оснащения…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4F8"/>
    <w:rsid w:val="000B34F8"/>
    <w:rsid w:val="000E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B34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65298/1" TargetMode="External"/><Relationship Id="rId13" Type="http://schemas.openxmlformats.org/officeDocument/2006/relationships/hyperlink" Target="http://internet.garant.ru/document/redirect/70332054/3000" TargetMode="External"/><Relationship Id="rId18" Type="http://schemas.openxmlformats.org/officeDocument/2006/relationships/hyperlink" Target="http://internet.garant.ru/document/redirect/70332054/300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32054/4000" TargetMode="External"/><Relationship Id="rId7" Type="http://schemas.openxmlformats.org/officeDocument/2006/relationships/hyperlink" Target="http://internet.garant.ru/document/redirect/74928332/0" TargetMode="External"/><Relationship Id="rId12" Type="http://schemas.openxmlformats.org/officeDocument/2006/relationships/hyperlink" Target="http://internet.garant.ru/document/redirect/70265298/1" TargetMode="External"/><Relationship Id="rId17" Type="http://schemas.openxmlformats.org/officeDocument/2006/relationships/hyperlink" Target="http://internet.garant.ru/document/redirect/70332054/3000" TargetMode="External"/><Relationship Id="rId25" Type="http://schemas.openxmlformats.org/officeDocument/2006/relationships/hyperlink" Target="http://internet.garant.ru/document/redirect/18726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32054/3000" TargetMode="External"/><Relationship Id="rId20" Type="http://schemas.openxmlformats.org/officeDocument/2006/relationships/hyperlink" Target="http://internet.garant.ru/document/redirect/70332054/4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32054/4000" TargetMode="External"/><Relationship Id="rId24" Type="http://schemas.openxmlformats.org/officeDocument/2006/relationships/hyperlink" Target="http://internet.garant.ru/document/redirect/187263/11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32054/4000" TargetMode="External"/><Relationship Id="rId23" Type="http://schemas.openxmlformats.org/officeDocument/2006/relationships/hyperlink" Target="http://internet.garant.ru/document/redirect/10105643/30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0265298/1" TargetMode="External"/><Relationship Id="rId19" Type="http://schemas.openxmlformats.org/officeDocument/2006/relationships/hyperlink" Target="http://internet.garant.ru/document/redirect/70332054/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32054/3000" TargetMode="External"/><Relationship Id="rId14" Type="http://schemas.openxmlformats.org/officeDocument/2006/relationships/hyperlink" Target="http://internet.garant.ru/document/redirect/70332054/4000" TargetMode="External"/><Relationship Id="rId22" Type="http://schemas.openxmlformats.org/officeDocument/2006/relationships/hyperlink" Target="http://internet.garant.ru/document/redirect/10105643/200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7204</Characters>
  <Application>Microsoft Office Word</Application>
  <DocSecurity>0</DocSecurity>
  <Lines>60</Lines>
  <Paragraphs>15</Paragraphs>
  <ScaleCrop>false</ScaleCrop>
  <Company>НПП "Гарант-Сервис"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OAO1</cp:lastModifiedBy>
  <cp:revision>3</cp:revision>
  <cp:lastPrinted>2020-12-02T07:23:00Z</cp:lastPrinted>
  <dcterms:created xsi:type="dcterms:W3CDTF">2020-12-02T07:23:00Z</dcterms:created>
  <dcterms:modified xsi:type="dcterms:W3CDTF">2020-12-02T07:23:00Z</dcterms:modified>
</cp:coreProperties>
</file>